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68" w:rsidRPr="00624E68" w:rsidRDefault="00624E68" w:rsidP="00624E68">
      <w:pPr>
        <w:jc w:val="right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color w:val="000000"/>
          <w:sz w:val="30"/>
          <w:szCs w:val="30"/>
        </w:rPr>
        <w:t>Образец</w:t>
      </w: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624E68" w:rsidRPr="00624E68" w:rsidTr="004920DA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68" w:rsidRPr="00624E68" w:rsidRDefault="00624E68" w:rsidP="00624E68">
            <w:pPr>
              <w:ind w:hanging="3675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</w:tc>
      </w:tr>
    </w:tbl>
    <w:p w:rsidR="00624E68" w:rsidRPr="00624E68" w:rsidRDefault="00624E68" w:rsidP="00624E68">
      <w:pPr>
        <w:contextualSpacing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color w:val="000000"/>
          <w:sz w:val="30"/>
          <w:szCs w:val="30"/>
        </w:rPr>
        <w:t>ПРОГРАММА</w:t>
      </w:r>
    </w:p>
    <w:p w:rsidR="00624E68" w:rsidRPr="00624E68" w:rsidRDefault="00624E68" w:rsidP="00624E68">
      <w:pPr>
        <w:contextualSpacing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24E68" w:rsidRPr="00624E68" w:rsidRDefault="00624E68" w:rsidP="00624E68">
      <w:pPr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color w:val="000000"/>
          <w:sz w:val="30"/>
          <w:szCs w:val="30"/>
        </w:rPr>
        <w:t>лабораторного испытания штамма _______________________________</w:t>
      </w:r>
    </w:p>
    <w:p w:rsidR="00624E68" w:rsidRPr="00624E68" w:rsidRDefault="00624E68" w:rsidP="00624E68">
      <w:pPr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24E68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(родовое и видовое название микроорганизма в латинской </w:t>
      </w:r>
      <w:r w:rsidRPr="00624E68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24E68" w:rsidRPr="00624E68" w:rsidRDefault="00624E68" w:rsidP="00624E68">
      <w:pPr>
        <w:contextualSpacing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624E68">
        <w:rPr>
          <w:rFonts w:ascii="Times New Roman" w:eastAsia="Arial Unicode MS" w:hAnsi="Times New Roman" w:cs="Times New Roman"/>
          <w:color w:val="000000"/>
          <w:sz w:val="18"/>
          <w:szCs w:val="18"/>
        </w:rPr>
        <w:t>транскрипции, номер штамма, внутривидовая принадлежность (если имеется), с какой целью осуществляется депонирование)</w:t>
      </w:r>
    </w:p>
    <w:p w:rsidR="00624E68" w:rsidRPr="00624E68" w:rsidRDefault="00624E68" w:rsidP="00624E68">
      <w:pPr>
        <w:contextualSpacing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:rsidR="00624E68" w:rsidRPr="00624E68" w:rsidRDefault="00624E68" w:rsidP="00624E68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color w:val="000000"/>
          <w:sz w:val="30"/>
          <w:szCs w:val="30"/>
        </w:rPr>
        <w:t>1. Цель проведения лабораторного испытания, с указанием какие именно свойства будут проверяться.</w:t>
      </w:r>
    </w:p>
    <w:p w:rsidR="00624E68" w:rsidRPr="00624E68" w:rsidRDefault="00624E68" w:rsidP="00624E68">
      <w:pPr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Пример:</w:t>
      </w:r>
    </w:p>
    <w:p w:rsidR="00624E68" w:rsidRPr="00624E68" w:rsidRDefault="00624E68" w:rsidP="00624E68">
      <w:pPr>
        <w:ind w:firstLine="567"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«Цель проведения лабораторного испытания штамма V.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2419 серогруппы О139, предлагаемого в качестве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авирулентного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суперпродуцента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О139 антигена, состоит в подтверждении высокого уровня продукции О139 антигена и отсутствии гена холерного токсина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ctxA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».</w:t>
      </w:r>
    </w:p>
    <w:p w:rsidR="00624E68" w:rsidRPr="00624E68" w:rsidRDefault="00624E68" w:rsidP="00624E68">
      <w:pPr>
        <w:ind w:firstLine="709"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color w:val="000000"/>
          <w:sz w:val="30"/>
          <w:szCs w:val="30"/>
        </w:rPr>
        <w:t>2. Следует детально расписать алгоритм проверки тестируемых свойств, с указанием необходимого оборудования и расходных материалов.</w:t>
      </w:r>
    </w:p>
    <w:p w:rsidR="00624E68" w:rsidRPr="00624E68" w:rsidRDefault="00624E68" w:rsidP="00624E68">
      <w:pPr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Пример:</w:t>
      </w:r>
    </w:p>
    <w:p w:rsidR="00624E68" w:rsidRPr="00624E68" w:rsidRDefault="00624E68" w:rsidP="00624E68">
      <w:pPr>
        <w:ind w:firstLine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«Количество продуцируемого изучаемым штаммом О139 антигена изучали в развернутой реакции агглютинации с О139 сывороткой. Готовили ряд разведений сыворотки в изотоническом растворе хлорида натрия от 1:50 до ½ титра сыворотки в объеме 0,5 мл. Во все разведения сыворотки добавляют по 0,5 мл взвеси 18 – 24-часовой агаровой культуры, содержащей 1 млрд. микробных тел в 1 мл. После добавления культуры получали ряд разведений от 1:100 до 1:6400. Постановка реакции сопровождалась двумя контролями – контролем антигена (0,5 мл взвеси культуры + 0,5 мл изотонического раствора хлорида натрия) и контролем сыворотки (сыворотка в разведении 1:50). В качестве контрольного штамма использовали V.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P16064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cap</w:t>
      </w:r>
      <w:proofErr w:type="spellEnd"/>
      <w:proofErr w:type="gram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- ,титр</w:t>
      </w:r>
      <w:proofErr w:type="gram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агглютинации которого составил 1:3600. Пробирки помещали в термостат при температуре 37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  <w:vertAlign w:val="superscript"/>
        </w:rPr>
        <w:t>о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С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на 2 ч. Окончательный результат учитывали через 20 ч выдержки при комнатной температуре.</w:t>
      </w:r>
    </w:p>
    <w:p w:rsidR="00624E68" w:rsidRPr="00624E68" w:rsidRDefault="00624E68" w:rsidP="00624E68">
      <w:pPr>
        <w:ind w:firstLine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Авирулентность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штамма V.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2419 устанавливали с помощью полимеразной цепной реакции с праймерами на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ctxA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ген. Для этого клетки 18 часовой культуры, выращенные на LB-агаре,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ресуспензировали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в 1 мл изотонического раствора хлорида натрия до концентрации 109 клеток в 1 мл, титрованием в дистиллированной воде доводили до конечной концентрации 107 клеток в 1 мл. Далее к исследуемому образцу добавляли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мертиолят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натрия до конечной 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lastRenderedPageBreak/>
        <w:t xml:space="preserve">концентрации 1:10000 (0,01%) и прогревали его при 56°С в течение 30 мин. Затем, 100 мкл образца переносили в микроцентрифужные пробирки объемом 1,5 мл, добавляли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лизирующий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раствор, приготовленный на основе 6 М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гуанидинизотиоцианата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, и инкубировали 15 мин при 65°С, далее полученный образец в количестве 10 мкл использовали для исследования в ПЦР. К образцу добавляли растворы праймеров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ctxA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1 и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ctxA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2 – до конечной концентрации 12 пмоль каждого, 2,5 мкл 10 х кратного ПЦР-буфера, 2,5 мкл раствора дНТФ, 1 мкл 50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мМ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раствора хлорида магния, 0,25 мкл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Taq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-полимеразы и 7,95 мкл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деионизованной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воды.   </w:t>
      </w:r>
    </w:p>
    <w:p w:rsidR="00624E68" w:rsidRPr="00624E68" w:rsidRDefault="00624E68" w:rsidP="00624E68">
      <w:pPr>
        <w:ind w:firstLine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В качестве положительного контроля использовали ДНК из штамма V.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Cholerae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569B, полученную в тех же условиях, что и ДНК исследуемого штамма. В отрицательный контроль вносили 10 мкл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деионизованной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воды. </w:t>
      </w:r>
    </w:p>
    <w:p w:rsidR="00624E68" w:rsidRPr="00624E68" w:rsidRDefault="00624E68" w:rsidP="00624E68">
      <w:pPr>
        <w:ind w:firstLine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ПЦР проводили при следующих температурных режимах: для праймеров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ctxA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: 1-й цикл - температуре 95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  <w:vertAlign w:val="superscript"/>
        </w:rPr>
        <w:t>о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С - 5 мин; 2-35-й циклы, включающие: денатурацию при температуре 95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  <w:vertAlign w:val="superscript"/>
        </w:rPr>
        <w:t>о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С - 30 сек, отжиг при температуре 60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  <w:vertAlign w:val="superscript"/>
        </w:rPr>
        <w:t>о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С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- 30 сек и синтез при температуре 72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  <w:vertAlign w:val="superscript"/>
        </w:rPr>
        <w:t>о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С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- 30 сек; 36-й цикл – синтез в течение 7 мин при температуре 72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  <w:vertAlign w:val="superscript"/>
        </w:rPr>
        <w:t>о</w:t>
      </w:r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С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. Результаты ПЦР учитывали с помощью электрофореза при 80В в течение 35 мин в 1,5 % агарозном геле, содержащем 0,5 мкл/мл бромида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этидия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, с последующим просмотром геля в УФ-свете. Отсутствие специфического </w:t>
      </w:r>
      <w:proofErr w:type="spellStart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>амплификата</w:t>
      </w:r>
      <w:proofErr w:type="spellEnd"/>
      <w:r w:rsidRPr="00624E68">
        <w:rPr>
          <w:rFonts w:ascii="Times New Roman" w:eastAsia="Arial Unicode MS" w:hAnsi="Times New Roman" w:cs="Times New Roman"/>
          <w:i/>
          <w:color w:val="000000"/>
          <w:sz w:val="30"/>
          <w:szCs w:val="30"/>
        </w:rPr>
        <w:t xml:space="preserve"> свидетельствовало об отсутствии генов холерного токсина у изучаемого штамма».</w:t>
      </w:r>
    </w:p>
    <w:p w:rsidR="00624E68" w:rsidRPr="00624E68" w:rsidRDefault="00624E68" w:rsidP="00624E68">
      <w:pPr>
        <w:ind w:firstLine="567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24E68" w:rsidRPr="00624E68" w:rsidRDefault="00624E68" w:rsidP="00624E68">
      <w:pPr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24E68" w:rsidRPr="00624E68" w:rsidRDefault="00624E68" w:rsidP="00624E68">
      <w:pPr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24E68" w:rsidRPr="00624E68" w:rsidRDefault="00624E68" w:rsidP="00624E68">
      <w:pPr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color w:val="000000"/>
          <w:sz w:val="30"/>
          <w:szCs w:val="30"/>
        </w:rPr>
        <w:t xml:space="preserve">Руководитель </w:t>
      </w:r>
    </w:p>
    <w:p w:rsidR="00624E68" w:rsidRPr="00624E68" w:rsidRDefault="00624E68" w:rsidP="00624E68">
      <w:pPr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  <w:r w:rsidRPr="00624E68">
        <w:rPr>
          <w:rFonts w:ascii="Times New Roman" w:eastAsia="Arial Unicode MS" w:hAnsi="Times New Roman" w:cs="Times New Roman"/>
          <w:color w:val="000000"/>
          <w:sz w:val="30"/>
          <w:szCs w:val="30"/>
        </w:rPr>
        <w:t>структурного подразделения   _______________        _________________</w:t>
      </w:r>
    </w:p>
    <w:p w:rsidR="00624E68" w:rsidRPr="00624E68" w:rsidRDefault="00624E68" w:rsidP="00624E68">
      <w:pPr>
        <w:contextualSpacing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624E68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(</w:t>
      </w:r>
      <w:proofErr w:type="gramStart"/>
      <w:r w:rsidRPr="00624E68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подпись)   </w:t>
      </w:r>
      <w:proofErr w:type="gramEnd"/>
      <w:r w:rsidRPr="00624E68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                                                      (Ф.И.О.)</w:t>
      </w:r>
    </w:p>
    <w:p w:rsidR="00624E68" w:rsidRPr="00624E68" w:rsidRDefault="00624E68" w:rsidP="00624E68">
      <w:pPr>
        <w:spacing w:line="280" w:lineRule="exact"/>
        <w:ind w:left="5812"/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24E68" w:rsidRPr="00624E68" w:rsidRDefault="00624E68" w:rsidP="00624E68">
      <w:pPr>
        <w:spacing w:line="280" w:lineRule="exact"/>
        <w:ind w:left="5812"/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24E68" w:rsidRPr="00624E68" w:rsidRDefault="00624E68" w:rsidP="00624E68">
      <w:pPr>
        <w:spacing w:line="280" w:lineRule="exact"/>
        <w:ind w:left="5812"/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24E68" w:rsidRPr="00624E68" w:rsidRDefault="00624E68" w:rsidP="00624E68">
      <w:pPr>
        <w:spacing w:line="280" w:lineRule="exact"/>
        <w:ind w:left="5812"/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24E68" w:rsidRPr="00624E68" w:rsidRDefault="00624E68" w:rsidP="00624E68">
      <w:pPr>
        <w:spacing w:line="280" w:lineRule="exact"/>
        <w:ind w:left="5812"/>
        <w:contextualSpacing/>
        <w:rPr>
          <w:rFonts w:ascii="Times New Roman" w:eastAsia="Arial Unicode MS" w:hAnsi="Times New Roman" w:cs="Times New Roman"/>
          <w:color w:val="000000"/>
          <w:sz w:val="30"/>
          <w:szCs w:val="30"/>
        </w:rPr>
      </w:pPr>
    </w:p>
    <w:p w:rsidR="00685F1F" w:rsidRDefault="00685F1F">
      <w:bookmarkStart w:id="0" w:name="_GoBack"/>
      <w:bookmarkEnd w:id="0"/>
    </w:p>
    <w:sectPr w:rsidR="0068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71"/>
    <w:rsid w:val="00624E68"/>
    <w:rsid w:val="00685F1F"/>
    <w:rsid w:val="00A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E0B8-112D-4AFE-8DA7-D78309F0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71"/>
    <w:pPr>
      <w:spacing w:after="0" w:line="240" w:lineRule="auto"/>
    </w:pPr>
    <w:rPr>
      <w:rFonts w:ascii="Calibri" w:eastAsia="Tahoma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2023-02-22T11:10:00Z</dcterms:created>
  <dcterms:modified xsi:type="dcterms:W3CDTF">2026-06-08T09:01:00Z</dcterms:modified>
</cp:coreProperties>
</file>